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B6" w:rsidRPr="003C6FB6" w:rsidRDefault="00650FC9" w:rsidP="00650FC9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C6FB6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3C6FB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3C6FB6" w:rsidRPr="003C6FB6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  <w:r w:rsidRPr="003C6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50FC9" w:rsidRPr="003C6FB6" w:rsidRDefault="00650FC9" w:rsidP="00650FC9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6FB6">
        <w:rPr>
          <w:rFonts w:ascii="Times New Roman" w:hAnsi="Times New Roman" w:cs="Times New Roman"/>
          <w:b w:val="0"/>
          <w:color w:val="auto"/>
          <w:sz w:val="24"/>
          <w:szCs w:val="24"/>
        </w:rPr>
        <w:t>«____» от __ №__</w:t>
      </w:r>
    </w:p>
    <w:p w:rsidR="00650FC9" w:rsidRPr="003C6FB6" w:rsidRDefault="00650FC9" w:rsidP="008E5A7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C6FB6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8E5A70" w:rsidRPr="003C6FB6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93707" w:rsidRPr="003C6FB6">
        <w:rPr>
          <w:rFonts w:ascii="Times New Roman" w:hAnsi="Times New Roman" w:cs="Times New Roman"/>
          <w:color w:val="auto"/>
          <w:sz w:val="24"/>
          <w:szCs w:val="24"/>
        </w:rPr>
        <w:t>ООО «ЭДС»</w:t>
      </w:r>
    </w:p>
    <w:p w:rsidR="007C5088" w:rsidRPr="003C6FB6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B6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3C6FB6">
        <w:rPr>
          <w:rFonts w:ascii="Times New Roman" w:hAnsi="Times New Roman" w:cs="Times New Roman"/>
          <w:b/>
          <w:sz w:val="24"/>
          <w:szCs w:val="24"/>
        </w:rPr>
        <w:t>2</w:t>
      </w:r>
      <w:r w:rsidRPr="003C6FB6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3C6FB6">
        <w:rPr>
          <w:rFonts w:ascii="Times New Roman" w:hAnsi="Times New Roman" w:cs="Times New Roman"/>
          <w:b/>
          <w:sz w:val="24"/>
          <w:szCs w:val="24"/>
        </w:rPr>
        <w:t>.</w:t>
      </w:r>
      <w:r w:rsidR="0054414B" w:rsidRPr="003C6FB6">
        <w:rPr>
          <w:rFonts w:ascii="Times New Roman" w:hAnsi="Times New Roman" w:cs="Times New Roman"/>
          <w:b/>
          <w:sz w:val="24"/>
          <w:szCs w:val="24"/>
        </w:rPr>
        <w:t>4</w:t>
      </w:r>
      <w:r w:rsidR="00806C78" w:rsidRPr="003C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3C6FB6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3C6FB6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B6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3C6FB6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</w:t>
      </w:r>
      <w:r w:rsidR="005F7254" w:rsidRPr="003C6FB6">
        <w:rPr>
          <w:rFonts w:ascii="Times New Roman" w:hAnsi="Times New Roman" w:cs="Times New Roman"/>
          <w:b/>
          <w:sz w:val="24"/>
          <w:szCs w:val="24"/>
        </w:rPr>
        <w:br/>
      </w:r>
      <w:r w:rsidR="0058149F" w:rsidRPr="003C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B6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3C6FB6">
        <w:rPr>
          <w:rFonts w:ascii="Times New Roman" w:hAnsi="Times New Roman" w:cs="Times New Roman"/>
          <w:b/>
          <w:sz w:val="24"/>
          <w:szCs w:val="24"/>
        </w:rPr>
        <w:t>свыше 670 кВт</w:t>
      </w:r>
    </w:p>
    <w:p w:rsidR="00650FC9" w:rsidRPr="003C6FB6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3C6FB6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B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3C6F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3C6FB6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6003D4" w:rsidRPr="003C6FB6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3C6FB6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3C6FB6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3C6FB6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3C6FB6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3C6FB6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3C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78" w:rsidRPr="003C6FB6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B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C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3C6FB6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(решение № _______ </w:t>
      </w:r>
      <w:proofErr w:type="gramStart"/>
      <w:r w:rsidR="00CC4978" w:rsidRPr="003C6F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C4978" w:rsidRPr="003C6FB6">
        <w:rPr>
          <w:rFonts w:ascii="Times New Roman" w:hAnsi="Times New Roman" w:cs="Times New Roman"/>
          <w:sz w:val="24"/>
          <w:szCs w:val="24"/>
        </w:rPr>
        <w:t xml:space="preserve"> ______).</w:t>
      </w:r>
    </w:p>
    <w:p w:rsidR="0058149F" w:rsidRPr="003C6FB6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FB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C6FB6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3C6FB6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3C6FB6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3C6FB6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3C6FB6">
        <w:rPr>
          <w:rFonts w:ascii="Times New Roman" w:hAnsi="Times New Roman" w:cs="Times New Roman"/>
          <w:sz w:val="24"/>
          <w:szCs w:val="24"/>
        </w:rPr>
        <w:t>е</w:t>
      </w:r>
      <w:r w:rsidR="00ED42E7" w:rsidRPr="003C6FB6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3C6FB6">
        <w:rPr>
          <w:rFonts w:ascii="Times New Roman" w:hAnsi="Times New Roman" w:cs="Times New Roman"/>
          <w:sz w:val="24"/>
          <w:szCs w:val="24"/>
        </w:rPr>
        <w:t>е</w:t>
      </w:r>
      <w:r w:rsidR="00ED42E7" w:rsidRPr="003C6FB6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3C6FB6">
        <w:rPr>
          <w:rFonts w:ascii="Times New Roman" w:hAnsi="Times New Roman" w:cs="Times New Roman"/>
          <w:sz w:val="24"/>
          <w:szCs w:val="24"/>
        </w:rPr>
        <w:t>е</w:t>
      </w:r>
      <w:r w:rsidR="00ED42E7" w:rsidRPr="003C6FB6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3C6FB6">
        <w:rPr>
          <w:rFonts w:ascii="Times New Roman" w:hAnsi="Times New Roman" w:cs="Times New Roman"/>
          <w:sz w:val="24"/>
          <w:szCs w:val="24"/>
        </w:rPr>
        <w:t>а</w:t>
      </w:r>
      <w:r w:rsidR="00ED42E7" w:rsidRPr="003C6FB6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3C6FB6">
        <w:rPr>
          <w:rFonts w:ascii="Times New Roman" w:hAnsi="Times New Roman" w:cs="Times New Roman"/>
          <w:sz w:val="24"/>
          <w:szCs w:val="24"/>
        </w:rPr>
        <w:t>ы</w:t>
      </w:r>
      <w:r w:rsidR="00ED42E7" w:rsidRPr="003C6FB6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3C6FB6">
        <w:rPr>
          <w:rFonts w:ascii="Times New Roman" w:hAnsi="Times New Roman" w:cs="Times New Roman"/>
          <w:sz w:val="24"/>
          <w:szCs w:val="24"/>
        </w:rPr>
        <w:t xml:space="preserve"> максимальная мощность</w:t>
      </w:r>
      <w:r w:rsidR="005C3FDF" w:rsidRPr="003C6FB6">
        <w:rPr>
          <w:rFonts w:ascii="Times New Roman" w:hAnsi="Times New Roman" w:cs="Times New Roman"/>
          <w:sz w:val="24"/>
          <w:szCs w:val="24"/>
        </w:rPr>
        <w:t xml:space="preserve">, </w:t>
      </w:r>
      <w:r w:rsidR="0058149F" w:rsidRPr="003C6FB6">
        <w:rPr>
          <w:rFonts w:ascii="Times New Roman" w:hAnsi="Times New Roman" w:cs="Times New Roman"/>
          <w:sz w:val="24"/>
          <w:szCs w:val="24"/>
        </w:rPr>
        <w:t>ко</w:t>
      </w:r>
      <w:r w:rsidR="007F74A7" w:rsidRPr="003C6FB6">
        <w:rPr>
          <w:rFonts w:ascii="Times New Roman" w:hAnsi="Times New Roman" w:cs="Times New Roman"/>
          <w:sz w:val="24"/>
          <w:szCs w:val="24"/>
        </w:rPr>
        <w:t xml:space="preserve">торых увеличивается, а также </w:t>
      </w:r>
      <w:r w:rsidR="0058149F" w:rsidRPr="003C6FB6">
        <w:rPr>
          <w:rFonts w:ascii="Times New Roman" w:hAnsi="Times New Roman" w:cs="Times New Roman"/>
          <w:sz w:val="24"/>
          <w:szCs w:val="24"/>
        </w:rPr>
        <w:t>случаи, при которых в отношении ранее присоединенных эне</w:t>
      </w:r>
      <w:r w:rsidR="005C3FDF" w:rsidRPr="003C6FB6">
        <w:rPr>
          <w:rFonts w:ascii="Times New Roman" w:hAnsi="Times New Roman" w:cs="Times New Roman"/>
          <w:sz w:val="24"/>
          <w:szCs w:val="24"/>
        </w:rPr>
        <w:t>ргопринимающих устройств изменяе</w:t>
      </w:r>
      <w:r w:rsidR="0058149F" w:rsidRPr="003C6FB6">
        <w:rPr>
          <w:rFonts w:ascii="Times New Roman" w:hAnsi="Times New Roman" w:cs="Times New Roman"/>
          <w:sz w:val="24"/>
          <w:szCs w:val="24"/>
        </w:rPr>
        <w:t xml:space="preserve">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</w:t>
      </w:r>
      <w:proofErr w:type="spellStart"/>
      <w:r w:rsidR="0058149F" w:rsidRPr="003C6FB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3C6FB6">
        <w:rPr>
          <w:rFonts w:ascii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8C2E25" w:rsidRPr="003C6FB6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B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3C6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3C6FB6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 w:rsidRPr="003C6FB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3C6FB6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3C6FB6">
        <w:rPr>
          <w:rFonts w:ascii="Times New Roman" w:hAnsi="Times New Roman" w:cs="Times New Roman"/>
          <w:sz w:val="24"/>
          <w:szCs w:val="24"/>
        </w:rPr>
        <w:t>.</w:t>
      </w:r>
    </w:p>
    <w:p w:rsidR="00FC33E3" w:rsidRPr="003C6FB6" w:rsidRDefault="000825BA" w:rsidP="00650F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6FB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3C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3C6FB6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</w:t>
      </w:r>
      <w:r w:rsidR="009E1937" w:rsidRPr="003C6FB6">
        <w:rPr>
          <w:rFonts w:ascii="Times New Roman" w:hAnsi="Times New Roman" w:cs="Times New Roman"/>
          <w:sz w:val="24"/>
          <w:szCs w:val="24"/>
        </w:rPr>
        <w:t xml:space="preserve"> не более 300 метров в городах,</w:t>
      </w:r>
      <w:r w:rsidR="00195358" w:rsidRPr="003C6FB6">
        <w:rPr>
          <w:rFonts w:ascii="Times New Roman" w:hAnsi="Times New Roman" w:cs="Times New Roman"/>
          <w:sz w:val="24"/>
          <w:szCs w:val="24"/>
        </w:rPr>
        <w:t xml:space="preserve"> поселках городского типа и не более 500 метров в сельской местности</w:t>
      </w:r>
      <w:r w:rsidR="00FC33E3" w:rsidRPr="003C6FB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3C6FB6" w:rsidRDefault="00FC33E3" w:rsidP="00650FC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C6FB6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3C6FB6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3C6FB6">
        <w:rPr>
          <w:rFonts w:ascii="Times New Roman" w:hAnsi="Times New Roman" w:cs="Times New Roman"/>
          <w:b/>
          <w:sz w:val="24"/>
          <w:szCs w:val="24"/>
        </w:rPr>
        <w:t xml:space="preserve">1 год </w:t>
      </w:r>
      <w:r w:rsidR="004F68F4" w:rsidRPr="003C6FB6">
        <w:rPr>
          <w:rFonts w:ascii="Times New Roman" w:hAnsi="Times New Roman" w:cs="Times New Roman"/>
          <w:b/>
          <w:sz w:val="24"/>
          <w:szCs w:val="24"/>
        </w:rPr>
        <w:t>с даты</w:t>
      </w:r>
      <w:proofErr w:type="gramEnd"/>
      <w:r w:rsidR="004F68F4" w:rsidRPr="003C6FB6">
        <w:rPr>
          <w:rFonts w:ascii="Times New Roman" w:hAnsi="Times New Roman" w:cs="Times New Roman"/>
          <w:b/>
          <w:sz w:val="24"/>
          <w:szCs w:val="24"/>
        </w:rPr>
        <w:t xml:space="preserve"> заключения договора</w:t>
      </w:r>
      <w:r w:rsidR="00195358" w:rsidRPr="003C6FB6">
        <w:rPr>
          <w:rFonts w:ascii="Times New Roman" w:hAnsi="Times New Roman" w:cs="Times New Roman"/>
          <w:sz w:val="24"/>
          <w:szCs w:val="24"/>
        </w:rPr>
        <w:t>;</w:t>
      </w:r>
    </w:p>
    <w:p w:rsidR="0054414B" w:rsidRPr="003C6FB6" w:rsidRDefault="00CC4978" w:rsidP="0065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FB6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3C6FB6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3C6FB6">
        <w:rPr>
          <w:rFonts w:ascii="Times New Roman" w:hAnsi="Times New Roman" w:cs="Times New Roman"/>
          <w:b/>
          <w:sz w:val="24"/>
          <w:szCs w:val="24"/>
        </w:rPr>
        <w:t>2</w:t>
      </w:r>
      <w:r w:rsidR="00195358" w:rsidRPr="003C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3C6FB6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3C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68F4" w:rsidRPr="003C6FB6">
        <w:rPr>
          <w:rFonts w:ascii="Times New Roman" w:hAnsi="Times New Roman" w:cs="Times New Roman"/>
          <w:b/>
          <w:sz w:val="24"/>
          <w:szCs w:val="24"/>
        </w:rPr>
        <w:t>с даты заключения</w:t>
      </w:r>
      <w:proofErr w:type="gramEnd"/>
      <w:r w:rsidR="004F68F4" w:rsidRPr="003C6FB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F30DAA" w:rsidRPr="003C6FB6">
        <w:rPr>
          <w:rFonts w:ascii="Times New Roman" w:hAnsi="Times New Roman" w:cs="Times New Roman"/>
          <w:sz w:val="24"/>
          <w:szCs w:val="24"/>
        </w:rPr>
        <w:t xml:space="preserve">, </w:t>
      </w:r>
      <w:r w:rsidR="0054414B" w:rsidRPr="003C6FB6">
        <w:rPr>
          <w:rFonts w:ascii="Times New Roman" w:hAnsi="Times New Roman" w:cs="Times New Roman"/>
          <w:sz w:val="24"/>
          <w:szCs w:val="24"/>
        </w:rPr>
        <w:t>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195358" w:rsidRPr="003C6FB6" w:rsidRDefault="0019535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3C6FB6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6FB6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af4"/>
        <w:tblW w:w="4936" w:type="pct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3C6FB6" w:rsidRPr="003C6FB6" w:rsidTr="003C6FB6">
        <w:tc>
          <w:tcPr>
            <w:tcW w:w="167" w:type="pct"/>
          </w:tcPr>
          <w:p w:rsidR="00CA183B" w:rsidRPr="003C6FB6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4" w:type="pct"/>
          </w:tcPr>
          <w:p w:rsidR="00CA183B" w:rsidRPr="003C6FB6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</w:tcPr>
          <w:p w:rsidR="00CA183B" w:rsidRPr="003C6FB6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39" w:type="pct"/>
          </w:tcPr>
          <w:p w:rsidR="00CA183B" w:rsidRPr="003C6FB6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</w:tcPr>
          <w:p w:rsidR="00CA183B" w:rsidRPr="003C6FB6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</w:tcPr>
          <w:p w:rsidR="00CA183B" w:rsidRPr="003C6FB6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</w:tcPr>
          <w:p w:rsidR="00CA183B" w:rsidRPr="003C6FB6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3C6FB6" w:rsidRPr="003C6FB6" w:rsidTr="003C6FB6">
        <w:tc>
          <w:tcPr>
            <w:tcW w:w="167" w:type="pct"/>
            <w:vMerge w:val="restart"/>
          </w:tcPr>
          <w:p w:rsidR="00FA6398" w:rsidRPr="003C6FB6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" w:colLast="6"/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4" w:type="pct"/>
            <w:vMerge w:val="restart"/>
          </w:tcPr>
          <w:p w:rsidR="00FA6398" w:rsidRPr="003C6FB6" w:rsidRDefault="00FA639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</w:tcPr>
          <w:p w:rsidR="00FA6398" w:rsidRPr="003C6FB6" w:rsidRDefault="00FA6398" w:rsidP="003C6FB6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FA6398" w:rsidRPr="003C6FB6" w:rsidRDefault="00FA639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="006E41A4" w:rsidRPr="003C6F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присоединение;</w:t>
            </w:r>
          </w:p>
          <w:p w:rsidR="00FA6398" w:rsidRPr="003C6FB6" w:rsidRDefault="00FA639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FA6398" w:rsidRPr="003C6FB6" w:rsidRDefault="00FA6398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3C6FB6" w:rsidRDefault="00FA6398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</w:tcPr>
          <w:p w:rsidR="00FA6398" w:rsidRPr="003C6FB6" w:rsidRDefault="00FA6398" w:rsidP="003C6F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</w:tcPr>
          <w:p w:rsidR="00FA6398" w:rsidRPr="003C6FB6" w:rsidRDefault="00FA6398" w:rsidP="003C6F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hAnsi="Times New Roman" w:cs="Times New Roman"/>
              </w:rPr>
              <w:t>Пункты  8, 9, 10,12, 14 Правил технологического присоединения энергопринимающих устройств потребителей электрической энергии</w:t>
            </w:r>
            <w:r w:rsidRPr="003C6FB6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3C6FB6">
              <w:rPr>
                <w:rFonts w:ascii="Times New Roman" w:hAnsi="Times New Roman" w:cs="Times New Roman"/>
              </w:rPr>
              <w:t>.</w:t>
            </w:r>
          </w:p>
        </w:tc>
      </w:tr>
      <w:tr w:rsidR="003C6FB6" w:rsidRPr="003C6FB6" w:rsidTr="003C6FB6">
        <w:trPr>
          <w:trHeight w:val="86"/>
        </w:trPr>
        <w:tc>
          <w:tcPr>
            <w:tcW w:w="167" w:type="pct"/>
            <w:vMerge/>
          </w:tcPr>
          <w:p w:rsidR="00FA6398" w:rsidRPr="003C6FB6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FA6398" w:rsidRPr="003C6FB6" w:rsidRDefault="00FA639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FA6398" w:rsidRPr="003C6FB6" w:rsidRDefault="00FA639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39" w:type="pct"/>
          </w:tcPr>
          <w:p w:rsidR="00FA6398" w:rsidRPr="003C6FB6" w:rsidRDefault="00FA639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3C6F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FA6398" w:rsidRPr="003C6FB6" w:rsidRDefault="0007146B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3C6FB6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6" w:type="pct"/>
          </w:tcPr>
          <w:p w:rsidR="00FA6398" w:rsidRPr="003C6FB6" w:rsidRDefault="00FA6398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72" w:type="pct"/>
          </w:tcPr>
          <w:p w:rsidR="00FA6398" w:rsidRPr="003C6FB6" w:rsidRDefault="00FA639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86"/>
        </w:trPr>
        <w:tc>
          <w:tcPr>
            <w:tcW w:w="167" w:type="pct"/>
          </w:tcPr>
          <w:p w:rsidR="006E41A4" w:rsidRPr="003C6FB6" w:rsidRDefault="006E41A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</w:tcPr>
          <w:p w:rsidR="006E41A4" w:rsidRPr="003C6FB6" w:rsidRDefault="006E41A4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6E41A4" w:rsidRPr="003C6FB6" w:rsidRDefault="006E41A4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6E41A4" w:rsidRPr="003C6FB6" w:rsidRDefault="006E41A4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90" w:type="pct"/>
          </w:tcPr>
          <w:p w:rsidR="006E41A4" w:rsidRPr="003C6FB6" w:rsidRDefault="006E41A4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6E41A4" w:rsidRPr="003C6FB6" w:rsidRDefault="006E41A4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72" w:type="pct"/>
          </w:tcPr>
          <w:p w:rsidR="006E41A4" w:rsidRPr="003C6FB6" w:rsidRDefault="006E41A4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86"/>
        </w:trPr>
        <w:tc>
          <w:tcPr>
            <w:tcW w:w="167" w:type="pct"/>
            <w:vMerge w:val="restart"/>
          </w:tcPr>
          <w:p w:rsidR="00603CF2" w:rsidRPr="003C6FB6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4" w:type="pct"/>
            <w:vMerge w:val="restar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системным оператором </w:t>
            </w:r>
          </w:p>
        </w:tc>
        <w:tc>
          <w:tcPr>
            <w:tcW w:w="939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2.1. 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3C6FB6">
              <w:rPr>
                <w:rFonts w:ascii="Times New Roman" w:eastAsia="Times New Roman" w:hAnsi="Times New Roman" w:cs="Times New Roman"/>
                <w:lang w:eastAsia="ru-RU"/>
              </w:rPr>
              <w:t>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603CF2" w:rsidRPr="003C6FB6" w:rsidRDefault="0007146B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3C6FB6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3C6FB6">
              <w:rPr>
                <w:rFonts w:ascii="Times New Roman" w:hAnsi="Times New Roman" w:cs="Times New Roman"/>
              </w:rPr>
              <w:lastRenderedPageBreak/>
              <w:t>получения, или выдача заявителю в офисе обслуживания потребителей</w:t>
            </w:r>
          </w:p>
        </w:tc>
        <w:tc>
          <w:tcPr>
            <w:tcW w:w="616" w:type="pct"/>
          </w:tcPr>
          <w:p w:rsidR="00603CF2" w:rsidRPr="003C6FB6" w:rsidRDefault="0007146B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86"/>
        </w:trPr>
        <w:tc>
          <w:tcPr>
            <w:tcW w:w="167" w:type="pct"/>
            <w:vMerge/>
          </w:tcPr>
          <w:p w:rsidR="00603CF2" w:rsidRPr="003C6FB6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3C6F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3C6FB6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</w:tcPr>
          <w:p w:rsidR="00603CF2" w:rsidRPr="003C6FB6" w:rsidRDefault="0007146B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3CF2" w:rsidRPr="003C6FB6">
              <w:rPr>
                <w:rFonts w:ascii="Times New Roman" w:eastAsia="Times New Roman" w:hAnsi="Times New Roman" w:cs="Times New Roman"/>
                <w:lang w:eastAsia="ru-RU"/>
              </w:rPr>
              <w:t>15 дней со дня  получения заявки;</w:t>
            </w:r>
          </w:p>
          <w:p w:rsidR="00603CF2" w:rsidRPr="003C6FB6" w:rsidRDefault="0007146B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r w:rsidR="00603CF2"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 случае  отсутствия сведений  (документов) 30 дней </w:t>
            </w:r>
            <w:proofErr w:type="gramStart"/>
            <w:r w:rsidR="00603CF2" w:rsidRPr="003C6FB6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="00603CF2"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  <w:p w:rsidR="0007146B" w:rsidRPr="003C6FB6" w:rsidRDefault="0007146B" w:rsidP="003C6FB6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FB6">
              <w:rPr>
                <w:rFonts w:ascii="Times New Roman" w:hAnsi="Times New Roman" w:cs="Times New Roman"/>
              </w:rPr>
              <w:t xml:space="preserve"> не позднее 3 рабочих дней со дня  согласования с системным оператором тех</w:t>
            </w:r>
            <w:r w:rsidR="009E1937" w:rsidRPr="003C6FB6">
              <w:rPr>
                <w:rFonts w:ascii="Times New Roman" w:hAnsi="Times New Roman" w:cs="Times New Roman"/>
              </w:rPr>
              <w:t xml:space="preserve">. </w:t>
            </w:r>
            <w:r w:rsidRPr="003C6FB6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972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86"/>
        </w:trPr>
        <w:tc>
          <w:tcPr>
            <w:tcW w:w="167" w:type="pct"/>
            <w:vMerge/>
          </w:tcPr>
          <w:p w:rsidR="00603CF2" w:rsidRPr="003C6FB6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3C6FB6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603CF2" w:rsidRPr="003C6FB6" w:rsidRDefault="00603CF2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603CF2" w:rsidRPr="003C6FB6" w:rsidRDefault="00603CF2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9E1937"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через 60 дней  –  заявка 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аннулируется.</w:t>
            </w:r>
          </w:p>
        </w:tc>
        <w:tc>
          <w:tcPr>
            <w:tcW w:w="972" w:type="pct"/>
          </w:tcPr>
          <w:p w:rsidR="00603CF2" w:rsidRPr="003C6FB6" w:rsidRDefault="00603CF2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86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3C6FB6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</w:tcPr>
          <w:p w:rsidR="00CC4978" w:rsidRPr="003C6FB6" w:rsidRDefault="00CC4978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86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C6FB6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CC4978" w:rsidRPr="003C6FB6" w:rsidRDefault="00CC4978" w:rsidP="003C6F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 w:val="restart"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4" w:type="pct"/>
            <w:vMerge w:val="restar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C6FB6">
              <w:rPr>
                <w:rFonts w:ascii="Times New Roman" w:hAnsi="Times New Roman" w:cs="Times New Roman"/>
              </w:rPr>
              <w:t xml:space="preserve">Выполнение сетевой организацией мероприятий, предусмотренных </w:t>
            </w:r>
            <w:r w:rsidRPr="003C6FB6">
              <w:rPr>
                <w:rFonts w:ascii="Times New Roman" w:hAnsi="Times New Roman" w:cs="Times New Roman"/>
              </w:rPr>
              <w:lastRenderedPageBreak/>
              <w:t>договором</w:t>
            </w: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C6FB6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C6FB6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3C6FB6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C6FB6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 w:val="restart"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4" w:type="pct"/>
            <w:vMerge w:val="restar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3C6FB6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</w:t>
            </w:r>
            <w:r w:rsidRPr="003C6FB6">
              <w:rPr>
                <w:rFonts w:ascii="Times New Roman" w:hAnsi="Times New Roman" w:cs="Times New Roman"/>
              </w:rPr>
              <w:lastRenderedPageBreak/>
              <w:t>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CC4978" w:rsidRPr="003C6FB6" w:rsidRDefault="00341295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CC4978" w:rsidRPr="003C6FB6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3C6FB6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</w:t>
            </w:r>
            <w:r w:rsidRPr="003C6FB6">
              <w:rPr>
                <w:rFonts w:ascii="Times New Roman" w:hAnsi="Times New Roman" w:cs="Times New Roman"/>
              </w:rPr>
              <w:lastRenderedPageBreak/>
              <w:t>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86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3C6FB6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</w:pPr>
            <w:r w:rsidRPr="003C6FB6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3C6FB6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CC4978" w:rsidRPr="003C6FB6" w:rsidRDefault="00CC4978" w:rsidP="003C6FB6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</w:t>
            </w:r>
            <w:r w:rsidRPr="003C6FB6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4.4.</w:t>
            </w:r>
            <w:r w:rsidRPr="003C6FB6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CC4978" w:rsidRPr="003C6FB6" w:rsidRDefault="00341295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CC4978" w:rsidRPr="003C6FB6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3C6FB6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3C6FB6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3C6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3C6FB6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CC4978" w:rsidRPr="003C6FB6" w:rsidRDefault="00CC4978" w:rsidP="003C6FB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CC4978" w:rsidRPr="003C6FB6" w:rsidRDefault="00341295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CC4978" w:rsidRPr="003C6FB6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3C6FB6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3C6FB6">
              <w:t xml:space="preserve"> 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3C6FB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4.6.</w:t>
            </w:r>
            <w:r w:rsidRPr="003C6FB6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C6FB6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4.7. </w:t>
            </w:r>
            <w:r w:rsidRPr="003C6FB6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C6FB6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3C6FB6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616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CC4978" w:rsidRPr="003C6FB6" w:rsidRDefault="00CC4978" w:rsidP="003C6F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bookmarkEnd w:id="0"/>
      <w:tr w:rsidR="003C6FB6" w:rsidRPr="003C6FB6" w:rsidTr="003C6FB6">
        <w:trPr>
          <w:trHeight w:val="695"/>
        </w:trPr>
        <w:tc>
          <w:tcPr>
            <w:tcW w:w="167" w:type="pct"/>
            <w:vMerge w:val="restart"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74" w:type="pct"/>
            <w:vMerge w:val="restart"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3C6FB6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CC4978" w:rsidRPr="003C6FB6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270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3C6FB6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CC4978" w:rsidRPr="003C6FB6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CC4978" w:rsidRPr="003C6FB6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CC4978" w:rsidRPr="003C6FB6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3C6F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C6FB6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</w:tcPr>
          <w:p w:rsidR="00CC4978" w:rsidRPr="003C6FB6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C6FB6" w:rsidRPr="003C6FB6" w:rsidTr="003C6FB6">
        <w:trPr>
          <w:trHeight w:val="695"/>
        </w:trPr>
        <w:tc>
          <w:tcPr>
            <w:tcW w:w="167" w:type="pct"/>
            <w:vMerge/>
          </w:tcPr>
          <w:p w:rsidR="00CC4978" w:rsidRPr="003C6FB6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3C6FB6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3C6FB6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3C6FB6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CC4978" w:rsidRPr="003C6FB6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</w:pPr>
            <w:r w:rsidRPr="003C6FB6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6" w:type="pct"/>
          </w:tcPr>
          <w:p w:rsidR="00CC4978" w:rsidRPr="003C6FB6" w:rsidRDefault="00CC4978" w:rsidP="005E4974">
            <w:r w:rsidRPr="003C6FB6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</w:tcPr>
          <w:p w:rsidR="00CC4978" w:rsidRPr="003C6FB6" w:rsidRDefault="00CC4978" w:rsidP="005E4974">
            <w:r w:rsidRPr="003C6FB6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02B7A" w:rsidRPr="003C6FB6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B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3C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70" w:rsidRPr="003C6FB6" w:rsidRDefault="008E5A70" w:rsidP="008E5A7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6FB6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993707" w:rsidRPr="003C6FB6">
        <w:rPr>
          <w:rFonts w:ascii="Times New Roman" w:hAnsi="Times New Roman" w:cs="Times New Roman"/>
          <w:sz w:val="24"/>
          <w:szCs w:val="24"/>
        </w:rPr>
        <w:t>ООО «ЭДС»</w:t>
      </w:r>
      <w:r w:rsidRPr="003C6FB6">
        <w:rPr>
          <w:rFonts w:ascii="Times New Roman" w:hAnsi="Times New Roman" w:cs="Times New Roman"/>
          <w:sz w:val="24"/>
          <w:szCs w:val="24"/>
        </w:rPr>
        <w:t xml:space="preserve"> </w:t>
      </w:r>
      <w:r w:rsidR="003C6FB6">
        <w:rPr>
          <w:rFonts w:ascii="Times New Roman" w:hAnsi="Times New Roman" w:cs="Times New Roman"/>
          <w:sz w:val="24"/>
          <w:szCs w:val="24"/>
        </w:rPr>
        <w:t>63-91-32</w:t>
      </w:r>
    </w:p>
    <w:p w:rsidR="008E5A70" w:rsidRPr="003C6FB6" w:rsidRDefault="008E5A70" w:rsidP="008E5A7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6FB6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3C6FB6">
        <w:rPr>
          <w:rFonts w:ascii="Times New Roman" w:hAnsi="Times New Roman" w:cs="Times New Roman"/>
          <w:sz w:val="24"/>
          <w:szCs w:val="24"/>
        </w:rPr>
        <w:t xml:space="preserve">ы </w:t>
      </w:r>
      <w:r w:rsidR="00993707" w:rsidRPr="003C6FB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93707" w:rsidRPr="003C6FB6">
        <w:rPr>
          <w:rFonts w:ascii="Times New Roman" w:hAnsi="Times New Roman" w:cs="Times New Roman"/>
          <w:sz w:val="24"/>
          <w:szCs w:val="24"/>
        </w:rPr>
        <w:t xml:space="preserve"> «ЭДС»</w:t>
      </w:r>
      <w:r w:rsidRPr="003C6FB6">
        <w:rPr>
          <w:rFonts w:ascii="Times New Roman" w:hAnsi="Times New Roman" w:cs="Times New Roman"/>
          <w:sz w:val="24"/>
          <w:szCs w:val="24"/>
        </w:rPr>
        <w:t xml:space="preserve">: </w:t>
      </w:r>
      <w:r w:rsidR="003C6FB6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3C6FB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C6FB6">
        <w:rPr>
          <w:rFonts w:ascii="Times New Roman" w:hAnsi="Times New Roman" w:cs="Times New Roman"/>
          <w:sz w:val="24"/>
          <w:szCs w:val="24"/>
          <w:lang w:val="en-US"/>
        </w:rPr>
        <w:t>zlat</w:t>
      </w:r>
      <w:proofErr w:type="spellEnd"/>
      <w:r w:rsidR="003C6F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C6FB6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="003C6F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6FB6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653F9" w:rsidRPr="003C6FB6" w:rsidRDefault="008E5A70" w:rsidP="008E5A70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r w:rsidRPr="003C6FB6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3C6FB6" w:rsidRPr="003C6FB6">
        <w:rPr>
          <w:rFonts w:ascii="Times New Roman" w:hAnsi="Times New Roman" w:cs="Times New Roman"/>
          <w:sz w:val="24"/>
          <w:szCs w:val="24"/>
        </w:rPr>
        <w:t>г. Златоуст, пр-т Мира, 2</w:t>
      </w:r>
      <w:proofErr w:type="gramStart"/>
      <w:r w:rsidR="003C6FB6" w:rsidRPr="003C6FB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C6FB6" w:rsidRPr="003C6FB6">
        <w:rPr>
          <w:rFonts w:ascii="Times New Roman" w:hAnsi="Times New Roman" w:cs="Times New Roman"/>
          <w:sz w:val="24"/>
          <w:szCs w:val="24"/>
        </w:rPr>
        <w:t>, оф. 24</w:t>
      </w:r>
    </w:p>
    <w:sectPr w:rsidR="000653F9" w:rsidRPr="003C6FB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95" w:rsidRDefault="00341295" w:rsidP="00DC7CA8">
      <w:pPr>
        <w:spacing w:after="0" w:line="240" w:lineRule="auto"/>
      </w:pPr>
      <w:r>
        <w:separator/>
      </w:r>
    </w:p>
  </w:endnote>
  <w:endnote w:type="continuationSeparator" w:id="0">
    <w:p w:rsidR="00341295" w:rsidRDefault="0034129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95" w:rsidRDefault="00341295" w:rsidP="00DC7CA8">
      <w:pPr>
        <w:spacing w:after="0" w:line="240" w:lineRule="auto"/>
      </w:pPr>
      <w:r>
        <w:separator/>
      </w:r>
    </w:p>
  </w:footnote>
  <w:footnote w:type="continuationSeparator" w:id="0">
    <w:p w:rsidR="00341295" w:rsidRDefault="00341295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27621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CC4978" w:rsidRDefault="00CC497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40C4F"/>
    <w:rsid w:val="000653F9"/>
    <w:rsid w:val="0007146B"/>
    <w:rsid w:val="000825BA"/>
    <w:rsid w:val="000C2731"/>
    <w:rsid w:val="000C3C93"/>
    <w:rsid w:val="000D0D64"/>
    <w:rsid w:val="000E710C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B3CD5"/>
    <w:rsid w:val="001D45A0"/>
    <w:rsid w:val="00206CD3"/>
    <w:rsid w:val="0022778E"/>
    <w:rsid w:val="00231805"/>
    <w:rsid w:val="00233155"/>
    <w:rsid w:val="00242530"/>
    <w:rsid w:val="00251BEC"/>
    <w:rsid w:val="00276213"/>
    <w:rsid w:val="0029622E"/>
    <w:rsid w:val="002963F2"/>
    <w:rsid w:val="002978AF"/>
    <w:rsid w:val="002A16A3"/>
    <w:rsid w:val="002A3BA1"/>
    <w:rsid w:val="002A4954"/>
    <w:rsid w:val="002A5552"/>
    <w:rsid w:val="002C24EC"/>
    <w:rsid w:val="002C3F37"/>
    <w:rsid w:val="002C56E2"/>
    <w:rsid w:val="0032200A"/>
    <w:rsid w:val="0032230E"/>
    <w:rsid w:val="00326913"/>
    <w:rsid w:val="00341295"/>
    <w:rsid w:val="00347A15"/>
    <w:rsid w:val="00366A29"/>
    <w:rsid w:val="0037161F"/>
    <w:rsid w:val="003A6292"/>
    <w:rsid w:val="003B555E"/>
    <w:rsid w:val="003B6F93"/>
    <w:rsid w:val="003C556E"/>
    <w:rsid w:val="003C6FB6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A4D60"/>
    <w:rsid w:val="004B0BFE"/>
    <w:rsid w:val="004B75E4"/>
    <w:rsid w:val="004D2FC8"/>
    <w:rsid w:val="004F68F4"/>
    <w:rsid w:val="0051045A"/>
    <w:rsid w:val="0051352D"/>
    <w:rsid w:val="00524428"/>
    <w:rsid w:val="00534E9A"/>
    <w:rsid w:val="0054414B"/>
    <w:rsid w:val="00557796"/>
    <w:rsid w:val="0058149F"/>
    <w:rsid w:val="00584BD8"/>
    <w:rsid w:val="005B627E"/>
    <w:rsid w:val="005C22A7"/>
    <w:rsid w:val="005C3FDF"/>
    <w:rsid w:val="005E4974"/>
    <w:rsid w:val="005E5AAE"/>
    <w:rsid w:val="005E615E"/>
    <w:rsid w:val="005F2F3E"/>
    <w:rsid w:val="005F7254"/>
    <w:rsid w:val="006003D4"/>
    <w:rsid w:val="00603CF2"/>
    <w:rsid w:val="006047AA"/>
    <w:rsid w:val="00614532"/>
    <w:rsid w:val="00620C3D"/>
    <w:rsid w:val="00640439"/>
    <w:rsid w:val="00650FC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7F74A7"/>
    <w:rsid w:val="00806C78"/>
    <w:rsid w:val="008117CC"/>
    <w:rsid w:val="00823FF3"/>
    <w:rsid w:val="00824E68"/>
    <w:rsid w:val="008254DA"/>
    <w:rsid w:val="0082713E"/>
    <w:rsid w:val="00863174"/>
    <w:rsid w:val="0086326F"/>
    <w:rsid w:val="00884C99"/>
    <w:rsid w:val="008C2E25"/>
    <w:rsid w:val="008C64E4"/>
    <w:rsid w:val="008D2E8D"/>
    <w:rsid w:val="008E16CB"/>
    <w:rsid w:val="008E5A70"/>
    <w:rsid w:val="009001F4"/>
    <w:rsid w:val="00904E58"/>
    <w:rsid w:val="00956CE7"/>
    <w:rsid w:val="00993707"/>
    <w:rsid w:val="00996EEC"/>
    <w:rsid w:val="009D7322"/>
    <w:rsid w:val="009E1937"/>
    <w:rsid w:val="009F1439"/>
    <w:rsid w:val="00A22C5F"/>
    <w:rsid w:val="00A44E14"/>
    <w:rsid w:val="00A45444"/>
    <w:rsid w:val="00A474DD"/>
    <w:rsid w:val="00A61E75"/>
    <w:rsid w:val="00A705D8"/>
    <w:rsid w:val="00A947AF"/>
    <w:rsid w:val="00AE08E3"/>
    <w:rsid w:val="00AF67C0"/>
    <w:rsid w:val="00B04094"/>
    <w:rsid w:val="00B062AF"/>
    <w:rsid w:val="00B118E9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D1560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7174A"/>
    <w:rsid w:val="00C74D96"/>
    <w:rsid w:val="00C75E65"/>
    <w:rsid w:val="00CA183B"/>
    <w:rsid w:val="00CA1E91"/>
    <w:rsid w:val="00CB26FA"/>
    <w:rsid w:val="00CC1A0A"/>
    <w:rsid w:val="00CC211B"/>
    <w:rsid w:val="00CC4978"/>
    <w:rsid w:val="00CE60B3"/>
    <w:rsid w:val="00CF1785"/>
    <w:rsid w:val="00D1019A"/>
    <w:rsid w:val="00D243E8"/>
    <w:rsid w:val="00D34055"/>
    <w:rsid w:val="00D37687"/>
    <w:rsid w:val="00D47D80"/>
    <w:rsid w:val="00D50CC7"/>
    <w:rsid w:val="00D679FC"/>
    <w:rsid w:val="00D73C9D"/>
    <w:rsid w:val="00DB69AA"/>
    <w:rsid w:val="00DC03DD"/>
    <w:rsid w:val="00DC7CA8"/>
    <w:rsid w:val="00E01206"/>
    <w:rsid w:val="00E20DAF"/>
    <w:rsid w:val="00E26A40"/>
    <w:rsid w:val="00E36F56"/>
    <w:rsid w:val="00E46A2F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F30DAA"/>
    <w:rsid w:val="00F4184B"/>
    <w:rsid w:val="00F4469B"/>
    <w:rsid w:val="00F87578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3C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3C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46E-4DD4-411A-AB08-64C99AF3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Наташа</cp:lastModifiedBy>
  <cp:revision>4</cp:revision>
  <cp:lastPrinted>2015-05-28T10:00:00Z</cp:lastPrinted>
  <dcterms:created xsi:type="dcterms:W3CDTF">2015-12-30T04:27:00Z</dcterms:created>
  <dcterms:modified xsi:type="dcterms:W3CDTF">2015-12-30T06:17:00Z</dcterms:modified>
</cp:coreProperties>
</file>